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A7" w:rsidRPr="00A976E7" w:rsidRDefault="00A56AA7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sz w:val="28"/>
          <w:szCs w:val="28"/>
          <w:lang w:eastAsia="ru-RU"/>
        </w:rPr>
        <w:t>Входят ли балкон и лоджия в отапливаемую площадь? А ванная комната и туалет?</w:t>
      </w:r>
    </w:p>
    <w:p w:rsidR="00A56AA7" w:rsidRPr="00A976E7" w:rsidRDefault="00A56AA7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В статье 15 </w:t>
      </w:r>
      <w:hyperlink r:id="rId5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Жилищного кодекса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 Российской Федерации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санитарным и техническим правилам и нормам, иным требованиям законодательства). Общая площадь жилого помещения состоит из суммы площадей всех его частей, включая помещения вспомогательного использования, предназначенные для удовлетворения гражданами бытовых и иных нужд, связанных с их проживанием, за исключением балконов, лоджий, веранд и террас. В соответствии с Правилами предоставления коммунальных услуг (</w:t>
      </w:r>
      <w:hyperlink r:id="rId6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РФ от 23.05.2006 г. № 307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) при расчете размера платы за отопление учитывается общая площадь жилого помещения.</w:t>
      </w:r>
    </w:p>
    <w:p w:rsidR="00A56AA7" w:rsidRDefault="00A56AA7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Таким образом, балкон и лоджия не входят в отапливаемую площадь жилого помещения, а ванная и туалет – входят.</w:t>
      </w:r>
    </w:p>
    <w:p w:rsidR="00A56AA7" w:rsidRPr="00A976E7" w:rsidRDefault="00A56AA7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56AA7" w:rsidRPr="00A976E7" w:rsidSect="000A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0A7C41"/>
    <w:rsid w:val="0013007B"/>
    <w:rsid w:val="001B56BE"/>
    <w:rsid w:val="001C2C5D"/>
    <w:rsid w:val="00596755"/>
    <w:rsid w:val="00763534"/>
    <w:rsid w:val="00A56AA7"/>
    <w:rsid w:val="00A911F6"/>
    <w:rsid w:val="00A976E7"/>
    <w:rsid w:val="00E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kh.su/normativnaja_baza_po_zhkh/postanovlenija_pravitelstva_rossijskoj_federacii/postanovlenie_307/" TargetMode="External"/><Relationship Id="rId5" Type="http://schemas.openxmlformats.org/officeDocument/2006/relationships/hyperlink" Target="http://www.zhkh.su/zakonodatelstvo_po_zhkh/zhiliwnyj_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170</Words>
  <Characters>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2016-10-25T05:57:00Z</dcterms:modified>
</cp:coreProperties>
</file>